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i w:val="0"/>
          <w:color w:val="6F3844"/>
          <w:sz w:val="16"/>
        </w:rPr>
        <w:t>INTAKE CHECKLIST · ONTARIO</w:t>
      </w:r>
    </w:p>
    <w:p>
      <w:pPr>
        <w:spacing w:before="0" w:after="40"/>
      </w:pPr>
      <w:r>
        <w:rPr>
          <w:rFonts w:ascii="Georgia" w:hAnsi="Georgia"/>
          <w:b/>
          <w:i w:val="0"/>
          <w:color w:val="1B1814"/>
          <w:sz w:val="44"/>
        </w:rPr>
        <w:t>CreditJuris Law</w:t>
      </w:r>
    </w:p>
    <w:p>
      <w:pPr>
        <w:spacing w:before="0" w:after="200"/>
      </w:pPr>
      <w:r>
        <w:rPr>
          <w:b w:val="0"/>
          <w:i/>
          <w:color w:val="6F3844"/>
          <w:sz w:val="22"/>
        </w:rPr>
        <w:t>Document checklist — Ontario</w:t>
      </w:r>
    </w:p>
    <w:p>
      <w:pPr>
        <w:spacing w:before="0" w:after="80"/>
      </w:pPr>
      <w:r>
        <w:rPr>
          <w:b/>
          <w:i w:val="0"/>
          <w:color w:val="1B1814"/>
          <w:sz w:val="21"/>
        </w:rPr>
        <w:t>Ontario intake checklist — commercial recovery</w:t>
      </w:r>
      <w:r>
        <w:rPr>
          <w:b w:val="0"/>
          <w:i w:val="0"/>
          <w:color w:val="1B1814"/>
          <w:sz w:val="21"/>
        </w:rPr>
        <w:t>&lt;br/&gt;Updated: September 2026</w:t>
      </w:r>
    </w:p>
    <w:p>
      <w:pPr>
        <w:spacing w:before="0" w:after="80"/>
      </w:pPr>
      <w:r>
        <w:rPr>
          <w:b w:val="0"/>
          <w:i w:val="0"/>
          <w:color w:val="1B1814"/>
          <w:sz w:val="21"/>
        </w:rPr>
        <w:t>The completeness of your intake package materially affects both the timeline and the recoverable amount. This checklist lists everything we typically need to open a commercial recovery file in Ontario. Missing items are not fatal — but they slow the file down and, in some cases, create defences we then have to overcome.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Debtor identification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Debtor's exact legal name (not trade name)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Ontario Corporation Number (OCN) or Federal Business Number (BN)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Registered head office address (per Ontario Business Registry or Corporations Canada)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Names and last known addresses of directors and officers, if known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Personal guarantee(s), if any — copies of executed guarantees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Confirmation of legal status (active / dissolved / in receivership)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Contract &amp; scope of engagement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Written contract, master services agreement, or engagement letter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Purchase orders, work orders, or change orders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Credit application form signed by the debtor (if extended terms)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General terms and conditions accepted by the debtor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 xml:space="preserve">☐  Any statement of the annualized interest rate (critical for </w:t>
      </w:r>
      <w:r>
        <w:rPr>
          <w:b w:val="0"/>
          <w:i/>
          <w:color w:val="1B1814"/>
          <w:sz w:val="21"/>
        </w:rPr>
        <w:t>Interest Act</w:t>
      </w:r>
      <w:r>
        <w:rPr>
          <w:b w:val="0"/>
          <w:i w:val="0"/>
          <w:color w:val="1B1814"/>
          <w:sz w:val="21"/>
        </w:rPr>
        <w:t xml:space="preserve"> s. 4 compliance)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Delivery &amp; performance evidence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Proof of delivery (bills of lading, signed receipts, tracking confirmations)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Timesheets, daily reports, or service delivery records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Deliverables (files, reports, deployed assets) and evidence of client access or use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Site records or photographs for construction / trade files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Invoicing &amp; account statement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All invoices issued, with dates, amounts, and description of services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Complete account statement showing invoices, credits, payments received, and outstanding balance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Currency and exchange rate documentation (if invoiced in USD or other currency)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HST / GST registration confirmation and applicable tax on invoices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Communications &amp; acknowledgments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Full email exchange with the debtor's accounts-payable, controller, or management contacts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Text messages, WhatsApp threads, or messaging app records (screenshots + timestamps)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Notes of phone calls (dates, participants, substance)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Any written acknowledgment of the debt — even partial (“we owe it, we're working on it”)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Any promise-to-pay email, part payment, or settlement discussion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Prior demand and dispute history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Copies of any demand letters previously sent (including your own drafts)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Any written response from the debtor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Notes of any disputes raised (quality, quantity, delivery) — even if resolved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Any credit notes, offsets, or set-offs applied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Limitation and forum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 xml:space="preserve">☐  Date of first discovery of the claim (for the </w:t>
      </w:r>
      <w:r>
        <w:rPr>
          <w:b w:val="0"/>
          <w:i/>
          <w:color w:val="1B1814"/>
          <w:sz w:val="21"/>
        </w:rPr>
        <w:t>Limitations Act, 2002</w:t>
      </w:r>
      <w:r>
        <w:rPr>
          <w:b w:val="0"/>
          <w:i w:val="0"/>
          <w:color w:val="1B1814"/>
          <w:sz w:val="21"/>
        </w:rPr>
        <w:t xml:space="preserve"> — two-year window)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Dates of any acknowledgment of debt or part payment that may have restarted the clock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Estimate of amount claimed (drives forum selection: Small Claims &lt; $35K; Simplified Procedure $35K–$200K; ordinary track &gt; $200K)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Foreign or cross-border considerations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If the plaintiff is a foreign entity: confirmation of Ontario registration (extra-provincial licence) or a plan to register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If the debtor has assets in another province or country: locations and nature of assets</w:t>
      </w:r>
    </w:p>
    <w:p>
      <w:pPr>
        <w:spacing w:before="0" w:after="40"/>
        <w:ind w:left="200"/>
      </w:pPr>
      <w:r>
        <w:rPr>
          <w:b w:val="0"/>
          <w:i w:val="0"/>
          <w:color w:val="1B1814"/>
          <w:sz w:val="21"/>
        </w:rPr>
        <w:t>☐  Any prior arbitration clause, forum selection clause, or choice of law clause in the contract</w:t>
      </w:r>
    </w:p>
    <w:p>
      <w:pPr>
        <w:spacing w:before="0" w:after="120"/>
      </w:pPr>
      <w:r>
        <w:rPr>
          <w:b w:val="0"/>
          <w:i/>
          <w:color w:val="5A544A"/>
          <w:sz w:val="17"/>
        </w:rPr>
        <w:t>If you can't locate a document, note it and send what you have — we can work with partial packages and identify what to reconstruct. Do not delete anything you're unsure about; it may be relevant later.</w:t>
      </w:r>
    </w:p>
    <w:p>
      <w:pPr>
        <w:spacing w:before="240" w:after="60"/>
      </w:pPr>
      <w:r>
        <w:rPr>
          <w:b/>
          <w:i w:val="0"/>
          <w:color w:val="6F3844"/>
          <w:sz w:val="27"/>
        </w:rPr>
        <w:t>How to send us the file</w:t>
      </w:r>
    </w:p>
    <w:p>
      <w:pPr>
        <w:spacing w:before="0" w:after="80"/>
      </w:pPr>
      <w:r>
        <w:rPr>
          <w:b w:val="0"/>
          <w:i w:val="0"/>
          <w:color w:val="1B1814"/>
          <w:sz w:val="21"/>
        </w:rPr>
        <w:t>Upload the documents directly in your client portal. Documents land straight in the file rather than passing through an inbox.</w:t>
      </w:r>
    </w:p>
    <w:p>
      <w:pPr>
        <w:spacing w:before="280" w:after="60"/>
      </w:pPr>
      <w:r>
        <w:rPr>
          <w:b/>
          <w:i w:val="0"/>
          <w:color w:val="6F3844"/>
          <w:sz w:val="17"/>
        </w:rPr>
        <w:t>TO START A MANDATE</w:t>
      </w:r>
    </w:p>
    <w:p>
      <w:pPr>
        <w:spacing w:before="0" w:after="40"/>
      </w:pPr>
      <w:r>
        <w:rPr>
          <w:b w:val="0"/>
          <w:i w:val="0"/>
          <w:color w:val="1B1814"/>
          <w:sz w:val="19"/>
        </w:rPr>
        <w:t>Free 30-minute consultation · calendly.com/emile-nicolov-creditjuris/30min</w:t>
      </w:r>
    </w:p>
    <w:p>
      <w:pPr>
        <w:spacing w:before="0" w:after="40"/>
      </w:pPr>
      <w:r>
        <w:rPr>
          <w:b w:val="0"/>
          <w:i w:val="0"/>
          <w:color w:val="1B1814"/>
          <w:sz w:val="19"/>
        </w:rPr>
        <w:t>Client portal (secure file upload) · www.creditjuris.com/portail</w:t>
      </w:r>
    </w:p>
    <w:p>
      <w:pPr>
        <w:spacing w:before="200" w:after="80"/>
      </w:pPr>
      <w:r>
        <w:rPr>
          <w:b w:val="0"/>
          <w:i w:val="0"/>
          <w:color w:val="5A544A"/>
          <w:sz w:val="17"/>
        </w:rPr>
        <w:t>This document is informational and does not constitute legal advice. Each file is assessed individually. Once received, your documents are protected by solicitor-client privilege.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3844"/>
        <w:sz w:val="14"/>
      </w:rPr>
      <w:t>CreditJuris Law · Ontario · www.creditjuris.com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