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CreditJuris</w:t>
      </w:r>
      <w:r>
        <w:t xml:space="preserve"> </w:t>
      </w:r>
      <w:r>
        <w:t xml:space="preserve">Law</w:t>
      </w:r>
      <w:r>
        <w:t xml:space="preserve"> </w:t>
      </w:r>
      <w:r>
        <w:t xml:space="preserve">—</w:t>
      </w:r>
      <w:r>
        <w:t xml:space="preserve"> </w:t>
      </w:r>
      <w:r>
        <w:t xml:space="preserve">Article</w:t>
      </w:r>
      <w:r>
        <w:t xml:space="preserve"> </w:t>
      </w:r>
      <w:r>
        <w:t xml:space="preserve">IV</w:t>
      </w:r>
      <w:r>
        <w:t xml:space="preserve"> </w:t>
      </w:r>
      <w:r>
        <w:t xml:space="preserve">·</w:t>
      </w:r>
      <w:r>
        <w:t xml:space="preserve"> </w:t>
      </w:r>
      <w:r>
        <w:t xml:space="preserve">Fees</w:t>
      </w:r>
      <w:r>
        <w:t xml:space="preserve"> </w:t>
      </w:r>
      <w:r>
        <w:t xml:space="preserve">·</w:t>
      </w:r>
      <w:r>
        <w:t xml:space="preserve"> </w:t>
      </w:r>
      <w:r>
        <w:t xml:space="preserve">Ontario</w:t>
      </w:r>
    </w:p>
    <w:p>
      <w:pPr>
        <w:pStyle w:val="FirstParagraph"/>
      </w:pPr>
      <w:r>
        <w:t xml:space="preserve">Article IV · Fees · Ontario</w:t>
      </w:r>
    </w:p>
    <w:bookmarkStart w:id="25" w:name="creditjuris-law"/>
    <w:p>
      <w:pPr>
        <w:pStyle w:val="Heading1"/>
      </w:pPr>
      <w:r>
        <w:t xml:space="preserve">Credit</w:t>
      </w:r>
      <w:r>
        <w:t xml:space="preserve">Juris</w:t>
      </w:r>
      <w:r>
        <w:t xml:space="preserve"> </w:t>
      </w:r>
      <w:r>
        <w:t xml:space="preserve">Law</w:t>
      </w:r>
    </w:p>
    <w:p>
      <w:pPr>
        <w:pStyle w:val="FirstParagraph"/>
      </w:pPr>
      <w:r>
        <w:rPr>
          <w:bCs/>
          <w:b/>
        </w:rPr>
        <w:t xml:space="preserve">Ontario Fee Schedule — 2026-2027</w:t>
      </w:r>
      <w:r>
        <w:br/>
      </w:r>
      <w:r>
        <w:t xml:space="preserve">Commercial debt collection in Ontario. Three billing modes. Published grid. All amounts in</w:t>
      </w:r>
      <w:r>
        <w:t xml:space="preserve"> </w:t>
      </w:r>
      <w:r>
        <w:t xml:space="preserve">Canadian dollars, all subject to 13% HST unless otherwise noted.</w:t>
      </w:r>
    </w:p>
    <w:bookmarkStart w:id="20" w:name="i.-flat-fee-single-acts"/>
    <w:p>
      <w:pPr>
        <w:pStyle w:val="Heading2"/>
      </w:pPr>
      <w:r>
        <w:t xml:space="preserve">I. Flat fee — single acts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 (before HST)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Demand letter — Essential (registered email)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$395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Demand letter — Recommended (mail + email)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$495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Demand letter — Served (process server)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$795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File opening &amp; conflict-of-interest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</w:tr>
    </w:tbl>
    <w:p>
      <w:pPr>
        <w:pStyle w:val="BodyText"/>
      </w:pPr>
      <w:r>
        <w:t xml:space="preserve">External disbursements (process server, postage, courier) billed at cost with prior written authorization.</w:t>
      </w:r>
    </w:p>
    <w:bookmarkEnd w:id="20"/>
    <w:bookmarkStart w:id="21" w:name="ii.-contingency-pre-litigation"/>
    <w:p>
      <w:pPr>
        <w:pStyle w:val="Heading2"/>
      </w:pPr>
      <w:r>
        <w:t xml:space="preserve">II. Contingency — pre-litigation</w:t>
      </w:r>
    </w:p>
    <w:p>
      <w:pPr>
        <w:pStyle w:val="FirstParagraph"/>
      </w:pPr>
      <w:r>
        <w:t xml:space="preserve">Ontario pre-litigation mandate: no fees unless we recover. Percentage set at mandate signing,</w:t>
      </w:r>
      <w:r>
        <w:t xml:space="preserve"> </w:t>
      </w:r>
      <w:r>
        <w:t xml:space="preserve">based on the total amount claimed.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Amount claimed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rate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 to $10,000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$10,001 – $35,000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$35,001 – $100,000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$100,001 – $500,000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Above $500,000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</w:tbl>
    <w:p>
      <w:pPr>
        <w:pStyle w:val="BodyText"/>
      </w:pPr>
      <w:r>
        <w:t xml:space="preserve">Contingency applied to capital recovered. Interest and prejudgment interest (s. 128</w:t>
      </w:r>
      <w:r>
        <w:t xml:space="preserve"> </w:t>
      </w:r>
      <w:r>
        <w:rPr>
          <w:iCs/>
          <w:i/>
        </w:rPr>
        <w:t xml:space="preserve">Courts of Justice Act</w:t>
      </w:r>
      <w:r>
        <w:t xml:space="preserve">) recovered separately without applicable percentage. Disbursements billed at cost, authorized in writing in advance. Standard-form contingency agreement complies with Ontario</w:t>
      </w:r>
      <w:r>
        <w:t xml:space="preserve"> </w:t>
      </w:r>
      <w:r>
        <w:rPr>
          <w:iCs/>
          <w:i/>
        </w:rPr>
        <w:t xml:space="preserve">Solicitors Act</w:t>
      </w:r>
      <w:r>
        <w:t xml:space="preserve"> </w:t>
      </w:r>
      <w:r>
        <w:t xml:space="preserve">and O. Reg. 195/04.</w:t>
      </w:r>
    </w:p>
    <w:bookmarkEnd w:id="21"/>
    <w:bookmarkStart w:id="22" w:name="X1d7ff2cde96723e7d671b8816d1db6140f5ee74"/>
    <w:p>
      <w:pPr>
        <w:pStyle w:val="Heading2"/>
      </w:pPr>
      <w:r>
        <w:t xml:space="preserve">III. Hourly — litigation, enforcement, complex files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Hourly rate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Junior counsel (0–4 years call)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$325 / hr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Intermediate counsel (5–9 years call)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$385 / hr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Senior counsel (10+ years call)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 / hr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Law clerk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 / hr</w:t>
            </w:r>
          </w:p>
        </w:tc>
      </w:tr>
    </w:tbl>
    <w:p>
      <w:pPr>
        <w:pStyle w:val="BodyText"/>
      </w:pPr>
      <w:r>
        <w:t xml:space="preserve">Written estimate provided before each phase. Itemized monthly invoicing. Retainer typically requested for contested matters. Cap per phase negotiable.</w:t>
      </w:r>
    </w:p>
    <w:bookmarkEnd w:id="22"/>
    <w:bookmarkStart w:id="23" w:name="iv.-reference-sample-files"/>
    <w:p>
      <w:pPr>
        <w:pStyle w:val="Heading2"/>
      </w:pPr>
      <w:r>
        <w:t xml:space="preserve">IV. Reference — sample files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Type of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Simple demand letter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 $25,000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$395 – $795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Portfolio of receivables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$10,000 – $250,000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– 25%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Construction lien claim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$25,000 – $500,000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Hourly + 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 – $8,000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Small Claims Court proceeding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&lt; $35,000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Hourly + 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$3,500 – $9,500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Civil action — Simplified Procedure (Rule 76)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$35,001 – $200,000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Hourly + contingency hybrid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$8,000 – $28,000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Civil action — Superior Court ordinary track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&gt; $200,000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$25,000 – $80,000+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Post-judgment enforcement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Variable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post-judgment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– 25%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Foreign judgment recognition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&gt; $50,000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Hourly + correspondent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$5,500 – $18,000</w:t>
            </w:r>
          </w:p>
        </w:tc>
      </w:tr>
    </w:tbl>
    <w:bookmarkEnd w:id="23"/>
    <w:bookmarkStart w:id="24" w:name="v.-notes-and-disclosures"/>
    <w:p>
      <w:pPr>
        <w:pStyle w:val="Heading2"/>
      </w:pPr>
      <w:r>
        <w:t xml:space="preserve">V. Notes and disclosures</w:t>
      </w:r>
    </w:p>
    <w:p>
      <w:pPr>
        <w:pStyle w:val="FirstParagraph"/>
      </w:pPr>
      <w:r>
        <w:t xml:space="preserve">Ontario legal services delivered by a lawyer licensed by the Law Society of Ontario, subject</w:t>
      </w:r>
      <w:r>
        <w:t xml:space="preserve"> </w:t>
      </w:r>
      <w:r>
        <w:t xml:space="preserve">to the</w:t>
      </w:r>
      <w:r>
        <w:t xml:space="preserve"> </w:t>
      </w:r>
      <w:r>
        <w:rPr>
          <w:iCs/>
          <w:i/>
        </w:rPr>
        <w:t xml:space="preserve">Rules of Professional Conduct</w:t>
      </w:r>
      <w:r>
        <w:t xml:space="preserve">. Contingency fee agreements executed on Ontario's</w:t>
      </w:r>
      <w:r>
        <w:t xml:space="preserve"> </w:t>
      </w:r>
      <w:r>
        <w:t xml:space="preserve">standard form under O. Reg. 195/04 (</w:t>
      </w:r>
      <w:r>
        <w:rPr>
          <w:iCs/>
          <w:i/>
        </w:rPr>
        <w:t xml:space="preserve">Solicitors Act</w:t>
      </w:r>
      <w:r>
        <w:t xml:space="preserve">). Costs award in Small Claims Court</w:t>
      </w:r>
      <w:r>
        <w:t xml:space="preserve"> </w:t>
      </w:r>
      <w:r>
        <w:t xml:space="preserve">capped at 15% of the amount claimed; costs in Superior Court follow the ordinary rule and are</w:t>
      </w:r>
      <w:r>
        <w:t xml:space="preserve"> </w:t>
      </w:r>
      <w:r>
        <w:t xml:space="preserve">typically substantial. HST at 13% applies to fees; disbursements billed at cost.</w:t>
      </w:r>
    </w:p>
    <w:p>
      <w:pPr>
        <w:pStyle w:val="BodyText"/>
      </w:pPr>
      <w:r>
        <w:t xml:space="preserve">To start a mandate</w:t>
      </w:r>
    </w:p>
    <w:p>
      <w:pPr>
        <w:pStyle w:val="BodyText"/>
      </w:pPr>
      <w:r>
        <w:t xml:space="preserve">Free 30-minute consultation · calendly.com/emile-nicolov-creditjuris/30min</w:t>
      </w:r>
    </w:p>
    <w:p>
      <w:pPr>
        <w:pStyle w:val="BodyText"/>
      </w:pPr>
      <w:r>
        <w:t xml:space="preserve">Client portal (secure file upload) · www.creditjuris.com/portail</w:t>
      </w:r>
    </w:p>
    <w:p>
      <w:pPr>
        <w:pStyle w:val="BodyText"/>
      </w:pPr>
      <w:r>
        <w:t xml:space="preserve">This grid is indicative and may be revised annually. The full conditions are specified in the</w:t>
      </w:r>
      <w:r>
        <w:t xml:space="preserve"> </w:t>
      </w:r>
      <w:r>
        <w:t xml:space="preserve">engagement agreement signed for each mandate. Informational document — not a contractual</w:t>
      </w:r>
      <w:r>
        <w:t xml:space="preserve"> </w:t>
      </w:r>
      <w:r>
        <w:t xml:space="preserve">commitment.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CreditJuris Law — Article IV · Fees · Ontario</dc:title>
  <dc:creator/>
  <dc:language>en</dc:language>
  <cp:keywords/>
  <dcterms:created xsi:type="dcterms:W3CDTF">2026-09-22T13:37:02Z</dcterms:created>
  <dcterms:modified xsi:type="dcterms:W3CDTF">2026-09-22T13:37:02Z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