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CréditJuris</w:t>
      </w:r>
      <w:r>
        <w:t xml:space="preserve"> </w:t>
      </w:r>
      <w:r>
        <w:t xml:space="preserve">Avocats</w:t>
      </w:r>
      <w:r>
        <w:t xml:space="preserve"> </w:t>
      </w:r>
      <w:r>
        <w:t xml:space="preserve">—</w:t>
      </w:r>
      <w:r>
        <w:t xml:space="preserve"> </w:t>
      </w:r>
      <w:r>
        <w:t xml:space="preserve">Article</w:t>
      </w:r>
      <w:r>
        <w:t xml:space="preserve"> </w:t>
      </w:r>
      <w:r>
        <w:t xml:space="preserve">IV</w:t>
      </w:r>
      <w:r>
        <w:t xml:space="preserve"> </w:t>
      </w:r>
      <w:r>
        <w:t xml:space="preserve">·</w:t>
      </w:r>
      <w:r>
        <w:t xml:space="preserve"> </w:t>
      </w:r>
      <w:r>
        <w:t xml:space="preserve">Honoraires</w:t>
      </w:r>
      <w:r>
        <w:t xml:space="preserve"> </w:t>
      </w:r>
      <w:r>
        <w:t xml:space="preserve">·</w:t>
      </w:r>
      <w:r>
        <w:t xml:space="preserve"> </w:t>
      </w:r>
      <w:r>
        <w:t xml:space="preserve">Ontario</w:t>
      </w:r>
    </w:p>
    <w:p>
      <w:pPr>
        <w:pStyle w:val="FirstParagraph"/>
      </w:pPr>
      <w:r>
        <w:t xml:space="preserve">Article IV · Honoraires · Ontario</w:t>
      </w:r>
    </w:p>
    <w:bookmarkStart w:id="25" w:name="créditjuris-avocats"/>
    <w:p>
      <w:pPr>
        <w:pStyle w:val="Heading1"/>
      </w:pPr>
      <w:r>
        <w:t xml:space="preserve">Crédit</w:t>
      </w:r>
      <w:r>
        <w:t xml:space="preserve">Juris</w:t>
      </w:r>
      <w:r>
        <w:t xml:space="preserve"> </w:t>
      </w:r>
      <w:r>
        <w:t xml:space="preserve">Avocats</w:t>
      </w:r>
    </w:p>
    <w:p>
      <w:pPr>
        <w:pStyle w:val="FirstParagraph"/>
      </w:pPr>
      <w:r>
        <w:rPr>
          <w:bCs/>
          <w:b/>
        </w:rPr>
        <w:t xml:space="preserve">Grille tarifaire — Ontario — 2026-2027</w:t>
      </w:r>
      <w:r>
        <w:br/>
      </w:r>
      <w:r>
        <w:t xml:space="preserve">Recouvrement de créances commerciales en Ontario. Trois modes de facturation. Grille publiée.</w:t>
      </w:r>
      <w:r>
        <w:t xml:space="preserve"> </w:t>
      </w:r>
      <w:r>
        <w:t xml:space="preserve">Tous les montants sont en dollars canadiens et assujettis à la TVH de 13 %, sauf indication contraire.</w:t>
      </w:r>
    </w:p>
    <w:bookmarkStart w:id="20" w:name="i.-forfait-actes-uniques"/>
    <w:p>
      <w:pPr>
        <w:pStyle w:val="Heading2"/>
      </w:pPr>
      <w:r>
        <w:t xml:space="preserve">I. Forfait — actes uniques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Service</w:t>
            </w:r>
          </w:p>
        </w:tc>
        <w:tc>
          <w:tcPr/>
          <w:p>
            <w:pPr>
              <w:pStyle w:val="Compact"/>
              <w:jc w:val="left"/>
            </w:pPr>
            <w:r>
              <w:t xml:space="preserve">Forfait (avant TVH)</w:t>
            </w:r>
          </w:p>
        </w:tc>
      </w:tr>
      <w:tr>
        <w:tc>
          <w:tcPr/>
          <w:p>
            <w:pPr>
              <w:pStyle w:val="Compact"/>
              <w:jc w:val="left"/>
            </w:pPr>
            <w:r>
              <w:t xml:space="preserve">Mise en demeure — Essentiel (courriel recommandé)</w:t>
            </w:r>
          </w:p>
        </w:tc>
        <w:tc>
          <w:tcPr/>
          <w:p>
            <w:pPr>
              <w:pStyle w:val="Compact"/>
              <w:jc w:val="left"/>
            </w:pPr>
            <w:r>
              <w:t xml:space="preserve">395 $</w:t>
            </w:r>
          </w:p>
        </w:tc>
      </w:tr>
      <w:tr>
        <w:tc>
          <w:tcPr/>
          <w:p>
            <w:pPr>
              <w:pStyle w:val="Compact"/>
              <w:jc w:val="left"/>
            </w:pPr>
            <w:r>
              <w:t xml:space="preserve">Mise en demeure — Recommandée (poste + courriel)</w:t>
            </w:r>
          </w:p>
        </w:tc>
        <w:tc>
          <w:tcPr/>
          <w:p>
            <w:pPr>
              <w:pStyle w:val="Compact"/>
              <w:jc w:val="left"/>
            </w:pPr>
            <w:r>
              <w:t xml:space="preserve">495 $</w:t>
            </w:r>
          </w:p>
        </w:tc>
      </w:tr>
      <w:tr>
        <w:tc>
          <w:tcPr/>
          <w:p>
            <w:pPr>
              <w:pStyle w:val="Compact"/>
              <w:jc w:val="left"/>
            </w:pPr>
            <w:r>
              <w:t xml:space="preserve">Mise en demeure — Signifiée (agent de signification)</w:t>
            </w:r>
          </w:p>
        </w:tc>
        <w:tc>
          <w:tcPr/>
          <w:p>
            <w:pPr>
              <w:pStyle w:val="Compact"/>
              <w:jc w:val="left"/>
            </w:pPr>
            <w:r>
              <w:t xml:space="preserve">795 $</w:t>
            </w:r>
          </w:p>
        </w:tc>
      </w:tr>
      <w:tr>
        <w:tc>
          <w:tcPr/>
          <w:p>
            <w:pPr>
              <w:pStyle w:val="Compact"/>
              <w:jc w:val="left"/>
            </w:pPr>
            <w:r>
              <w:t xml:space="preserve">Ouverture du dossier et vérification des conflits d'intérêts</w:t>
            </w:r>
          </w:p>
        </w:tc>
        <w:tc>
          <w:tcPr/>
          <w:p>
            <w:pPr>
              <w:pStyle w:val="Compact"/>
              <w:jc w:val="left"/>
            </w:pPr>
            <w:r>
              <w:t xml:space="preserve">Inclus</w:t>
            </w:r>
          </w:p>
        </w:tc>
      </w:tr>
    </w:tbl>
    <w:p>
      <w:pPr>
        <w:pStyle w:val="BodyText"/>
      </w:pPr>
      <w:r>
        <w:t xml:space="preserve">Les débours externes (agent de signification, frais postaux, messagerie) sont refacturés au coûtant, sur autorisation écrite préalable.</w:t>
      </w:r>
    </w:p>
    <w:bookmarkEnd w:id="20"/>
    <w:bookmarkStart w:id="21" w:name="ii.-honoraires-conditionnels-pré-litige"/>
    <w:p>
      <w:pPr>
        <w:pStyle w:val="Heading2"/>
      </w:pPr>
      <w:r>
        <w:t xml:space="preserve">II. Honoraires conditionnels — pré-litige</w:t>
      </w:r>
    </w:p>
    <w:p>
      <w:pPr>
        <w:pStyle w:val="FirstParagraph"/>
      </w:pPr>
      <w:r>
        <w:t xml:space="preserve">Mandat pré-litige en Ontario : aucun honoraire si aucun recouvrement. Le pourcentage est fixé</w:t>
      </w:r>
      <w:r>
        <w:t xml:space="preserve"> </w:t>
      </w:r>
      <w:r>
        <w:t xml:space="preserve">à la signature du mandat, selon le montant total réclamé.</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Montant réclamé</w:t>
            </w:r>
          </w:p>
        </w:tc>
        <w:tc>
          <w:tcPr/>
          <w:p>
            <w:pPr>
              <w:pStyle w:val="Compact"/>
              <w:jc w:val="left"/>
            </w:pPr>
            <w:r>
              <w:t xml:space="preserve">Taux</w:t>
            </w:r>
          </w:p>
        </w:tc>
      </w:tr>
      <w:tr>
        <w:tc>
          <w:tcPr/>
          <w:p>
            <w:pPr>
              <w:pStyle w:val="Compact"/>
              <w:jc w:val="left"/>
            </w:pPr>
            <w:r>
              <w:t xml:space="preserve">Jusqu'à 10 000 $</w:t>
            </w:r>
          </w:p>
        </w:tc>
        <w:tc>
          <w:tcPr/>
          <w:p>
            <w:pPr>
              <w:pStyle w:val="Compact"/>
              <w:jc w:val="left"/>
            </w:pPr>
            <w:r>
              <w:t xml:space="preserve">28 %</w:t>
            </w:r>
          </w:p>
        </w:tc>
      </w:tr>
      <w:tr>
        <w:tc>
          <w:tcPr/>
          <w:p>
            <w:pPr>
              <w:pStyle w:val="Compact"/>
              <w:jc w:val="left"/>
            </w:pPr>
            <w:r>
              <w:t xml:space="preserve">10 001 $ – 35 000 $</w:t>
            </w:r>
          </w:p>
        </w:tc>
        <w:tc>
          <w:tcPr/>
          <w:p>
            <w:pPr>
              <w:pStyle w:val="Compact"/>
              <w:jc w:val="left"/>
            </w:pPr>
            <w:r>
              <w:t xml:space="preserve">25 %</w:t>
            </w:r>
          </w:p>
        </w:tc>
      </w:tr>
      <w:tr>
        <w:tc>
          <w:tcPr/>
          <w:p>
            <w:pPr>
              <w:pStyle w:val="Compact"/>
              <w:jc w:val="left"/>
            </w:pPr>
            <w:r>
              <w:t xml:space="preserve">35 001 $ – 100 000 $</w:t>
            </w:r>
          </w:p>
        </w:tc>
        <w:tc>
          <w:tcPr/>
          <w:p>
            <w:pPr>
              <w:pStyle w:val="Compact"/>
              <w:jc w:val="left"/>
            </w:pPr>
            <w:r>
              <w:t xml:space="preserve">22 %</w:t>
            </w:r>
          </w:p>
        </w:tc>
      </w:tr>
      <w:tr>
        <w:tc>
          <w:tcPr/>
          <w:p>
            <w:pPr>
              <w:pStyle w:val="Compact"/>
              <w:jc w:val="left"/>
            </w:pPr>
            <w:r>
              <w:t xml:space="preserve">100 001 $ – 500 000 $</w:t>
            </w:r>
          </w:p>
        </w:tc>
        <w:tc>
          <w:tcPr/>
          <w:p>
            <w:pPr>
              <w:pStyle w:val="Compact"/>
              <w:jc w:val="left"/>
            </w:pPr>
            <w:r>
              <w:t xml:space="preserve">20 %</w:t>
            </w:r>
          </w:p>
        </w:tc>
      </w:tr>
      <w:tr>
        <w:tc>
          <w:tcPr/>
          <w:p>
            <w:pPr>
              <w:pStyle w:val="Compact"/>
              <w:jc w:val="left"/>
            </w:pPr>
            <w:r>
              <w:t xml:space="preserve">Plus de 500 000 $</w:t>
            </w:r>
          </w:p>
        </w:tc>
        <w:tc>
          <w:tcPr/>
          <w:p>
            <w:pPr>
              <w:pStyle w:val="Compact"/>
              <w:jc w:val="left"/>
            </w:pPr>
            <w:r>
              <w:t xml:space="preserve">18 %</w:t>
            </w:r>
          </w:p>
        </w:tc>
      </w:tr>
    </w:tbl>
    <w:p>
      <w:pPr>
        <w:pStyle w:val="BodyText"/>
      </w:pPr>
      <w:r>
        <w:t xml:space="preserve">Le pourcentage s'applique au capital recouvré. Les intérêts et les intérêts antérieurs au jugement (art. 128 de la</w:t>
      </w:r>
      <w:r>
        <w:t xml:space="preserve"> </w:t>
      </w:r>
      <w:r>
        <w:rPr>
          <w:iCs/>
          <w:i/>
        </w:rPr>
        <w:t xml:space="preserve">Loi sur les tribunaux judiciaires</w:t>
      </w:r>
      <w:r>
        <w:t xml:space="preserve"> </w:t>
      </w:r>
      <w:r>
        <w:t xml:space="preserve">—</w:t>
      </w:r>
      <w:r>
        <w:t xml:space="preserve"> </w:t>
      </w:r>
      <w:r>
        <w:rPr>
          <w:iCs/>
          <w:i/>
        </w:rPr>
        <w:t xml:space="preserve">Courts of Justice Act</w:t>
      </w:r>
      <w:r>
        <w:t xml:space="preserve">) sont recouvrés séparément, sans pourcentage applicable. Les débours sont facturés au coûtant, sur autorisation écrite préalable. L'entente d'honoraires conditionnels est rédigée sur le formulaire standard ontarien prévu au Règl. de l'Ont. 195/04 pris en application de la</w:t>
      </w:r>
      <w:r>
        <w:t xml:space="preserve"> </w:t>
      </w:r>
      <w:r>
        <w:rPr>
          <w:iCs/>
          <w:i/>
        </w:rPr>
        <w:t xml:space="preserve">Loi sur les procureurs</w:t>
      </w:r>
      <w:r>
        <w:t xml:space="preserve"> </w:t>
      </w:r>
      <w:r>
        <w:t xml:space="preserve">(</w:t>
      </w:r>
      <w:r>
        <w:rPr>
          <w:iCs/>
          <w:i/>
        </w:rPr>
        <w:t xml:space="preserve">Solicitors Act</w:t>
      </w:r>
      <w:r>
        <w:t xml:space="preserve">).</w:t>
      </w:r>
    </w:p>
    <w:bookmarkEnd w:id="21"/>
    <w:bookmarkStart w:id="22" w:name="Xe0e27c68b5cbb6e794db2510a6a1bacc0ab524f"/>
    <w:p>
      <w:pPr>
        <w:pStyle w:val="Heading2"/>
      </w:pPr>
      <w:r>
        <w:t xml:space="preserve">III. Taux horaire — litige, exécution, dossiers complexes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Catégorie</w:t>
            </w:r>
          </w:p>
        </w:tc>
        <w:tc>
          <w:tcPr/>
          <w:p>
            <w:pPr>
              <w:pStyle w:val="Compact"/>
              <w:jc w:val="left"/>
            </w:pPr>
            <w:r>
              <w:t xml:space="preserve">Taux horaire</w:t>
            </w:r>
          </w:p>
        </w:tc>
      </w:tr>
      <w:tr>
        <w:tc>
          <w:tcPr/>
          <w:p>
            <w:pPr>
              <w:pStyle w:val="Compact"/>
              <w:jc w:val="left"/>
            </w:pPr>
            <w:r>
              <w:t xml:space="preserve">Avocat junior (0–4 ans du barreau)</w:t>
            </w:r>
          </w:p>
        </w:tc>
        <w:tc>
          <w:tcPr/>
          <w:p>
            <w:pPr>
              <w:pStyle w:val="Compact"/>
              <w:jc w:val="left"/>
            </w:pPr>
            <w:r>
              <w:t xml:space="preserve">325 $ / h</w:t>
            </w:r>
          </w:p>
        </w:tc>
      </w:tr>
      <w:tr>
        <w:tc>
          <w:tcPr/>
          <w:p>
            <w:pPr>
              <w:pStyle w:val="Compact"/>
              <w:jc w:val="left"/>
            </w:pPr>
            <w:r>
              <w:t xml:space="preserve">Avocat intermédiaire (5–9 ans du barreau)</w:t>
            </w:r>
          </w:p>
        </w:tc>
        <w:tc>
          <w:tcPr/>
          <w:p>
            <w:pPr>
              <w:pStyle w:val="Compact"/>
              <w:jc w:val="left"/>
            </w:pPr>
            <w:r>
              <w:t xml:space="preserve">385 $ / h</w:t>
            </w:r>
          </w:p>
        </w:tc>
      </w:tr>
      <w:tr>
        <w:tc>
          <w:tcPr/>
          <w:p>
            <w:pPr>
              <w:pStyle w:val="Compact"/>
              <w:jc w:val="left"/>
            </w:pPr>
            <w:r>
              <w:t xml:space="preserve">Avocat senior (10 ans et plus)</w:t>
            </w:r>
          </w:p>
        </w:tc>
        <w:tc>
          <w:tcPr/>
          <w:p>
            <w:pPr>
              <w:pStyle w:val="Compact"/>
              <w:jc w:val="left"/>
            </w:pPr>
            <w:r>
              <w:t xml:space="preserve">450 $ / h</w:t>
            </w:r>
          </w:p>
        </w:tc>
      </w:tr>
      <w:tr>
        <w:tc>
          <w:tcPr/>
          <w:p>
            <w:pPr>
              <w:pStyle w:val="Compact"/>
              <w:jc w:val="left"/>
            </w:pPr>
            <w:r>
              <w:t xml:space="preserve">Technicien juridique</w:t>
            </w:r>
          </w:p>
        </w:tc>
        <w:tc>
          <w:tcPr/>
          <w:p>
            <w:pPr>
              <w:pStyle w:val="Compact"/>
              <w:jc w:val="left"/>
            </w:pPr>
            <w:r>
              <w:t xml:space="preserve">150 $ / h</w:t>
            </w:r>
          </w:p>
        </w:tc>
      </w:tr>
    </w:tbl>
    <w:p>
      <w:pPr>
        <w:pStyle w:val="BodyText"/>
      </w:pPr>
      <w:r>
        <w:t xml:space="preserve">Estimation écrite avant chaque phase. Facturation mensuelle détaillée. Une provision est généralement demandée pour les dossiers contestés. Plafond par phase négociable.</w:t>
      </w:r>
    </w:p>
    <w:bookmarkEnd w:id="22"/>
    <w:bookmarkStart w:id="23" w:name="iv.-référence-exemples-de-dossiers"/>
    <w:p>
      <w:pPr>
        <w:pStyle w:val="Heading2"/>
      </w:pPr>
      <w:r>
        <w:t xml:space="preserve">IV. Référence — exemples de dossiers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Type de dossier</w:t>
            </w:r>
          </w:p>
        </w:tc>
        <w:tc>
          <w:tcPr/>
          <w:p>
            <w:pPr>
              <w:pStyle w:val="Compact"/>
              <w:jc w:val="left"/>
            </w:pPr>
            <w:r>
              <w:t xml:space="preserve">Montant</w:t>
            </w:r>
          </w:p>
        </w:tc>
        <w:tc>
          <w:tcPr/>
          <w:p>
            <w:pPr>
              <w:pStyle w:val="Compact"/>
              <w:jc w:val="left"/>
            </w:pPr>
            <w:r>
              <w:t xml:space="preserve">Mode</w:t>
            </w:r>
          </w:p>
        </w:tc>
        <w:tc>
          <w:tcPr/>
          <w:p>
            <w:pPr>
              <w:pStyle w:val="Compact"/>
              <w:jc w:val="left"/>
            </w:pPr>
            <w:r>
              <w:t xml:space="preserve">Fourchette</w:t>
            </w:r>
          </w:p>
        </w:tc>
      </w:tr>
      <w:tr>
        <w:tc>
          <w:tcPr/>
          <w:p>
            <w:pPr>
              <w:pStyle w:val="Compact"/>
              <w:jc w:val="left"/>
            </w:pPr>
            <w:r>
              <w:t xml:space="preserve">Mise en demeure simple</w:t>
            </w:r>
          </w:p>
        </w:tc>
        <w:tc>
          <w:tcPr/>
          <w:p>
            <w:pPr>
              <w:pStyle w:val="Compact"/>
              <w:jc w:val="left"/>
            </w:pPr>
            <w:r>
              <w:t xml:space="preserve">&lt; 25 000 $</w:t>
            </w:r>
          </w:p>
        </w:tc>
        <w:tc>
          <w:tcPr/>
          <w:p>
            <w:pPr>
              <w:pStyle w:val="Compact"/>
              <w:jc w:val="left"/>
            </w:pPr>
            <w:r>
              <w:t xml:space="preserve">Forfait</w:t>
            </w:r>
          </w:p>
        </w:tc>
        <w:tc>
          <w:tcPr/>
          <w:p>
            <w:pPr>
              <w:pStyle w:val="Compact"/>
              <w:jc w:val="left"/>
            </w:pPr>
            <w:r>
              <w:t xml:space="preserve">395 – 795 $</w:t>
            </w:r>
          </w:p>
        </w:tc>
      </w:tr>
      <w:tr>
        <w:tc>
          <w:tcPr/>
          <w:p>
            <w:pPr>
              <w:pStyle w:val="Compact"/>
              <w:jc w:val="left"/>
            </w:pPr>
            <w:r>
              <w:t xml:space="preserve">Portefeuille de créances</w:t>
            </w:r>
          </w:p>
        </w:tc>
        <w:tc>
          <w:tcPr/>
          <w:p>
            <w:pPr>
              <w:pStyle w:val="Compact"/>
              <w:jc w:val="left"/>
            </w:pPr>
            <w:r>
              <w:t xml:space="preserve">10 000 – 250 000 $</w:t>
            </w:r>
          </w:p>
        </w:tc>
        <w:tc>
          <w:tcPr/>
          <w:p>
            <w:pPr>
              <w:pStyle w:val="Compact"/>
              <w:jc w:val="left"/>
            </w:pPr>
            <w:r>
              <w:t xml:space="preserve">Conditionnel</w:t>
            </w:r>
          </w:p>
        </w:tc>
        <w:tc>
          <w:tcPr/>
          <w:p>
            <w:pPr>
              <w:pStyle w:val="Compact"/>
              <w:jc w:val="left"/>
            </w:pPr>
            <w:r>
              <w:t xml:space="preserve">18 – 25 %</w:t>
            </w:r>
          </w:p>
        </w:tc>
      </w:tr>
      <w:tr>
        <w:tc>
          <w:tcPr/>
          <w:p>
            <w:pPr>
              <w:pStyle w:val="Compact"/>
              <w:jc w:val="left"/>
            </w:pPr>
            <w:r>
              <w:t xml:space="preserve">Privilège de construction</w:t>
            </w:r>
          </w:p>
        </w:tc>
        <w:tc>
          <w:tcPr/>
          <w:p>
            <w:pPr>
              <w:pStyle w:val="Compact"/>
              <w:jc w:val="left"/>
            </w:pPr>
            <w:r>
              <w:t xml:space="preserve">25 000 – 500 000 $</w:t>
            </w:r>
          </w:p>
        </w:tc>
        <w:tc>
          <w:tcPr/>
          <w:p>
            <w:pPr>
              <w:pStyle w:val="Compact"/>
              <w:jc w:val="left"/>
            </w:pPr>
            <w:r>
              <w:t xml:space="preserve">Horaire + forfait</w:t>
            </w:r>
          </w:p>
        </w:tc>
        <w:tc>
          <w:tcPr/>
          <w:p>
            <w:pPr>
              <w:pStyle w:val="Compact"/>
              <w:jc w:val="left"/>
            </w:pPr>
            <w:r>
              <w:t xml:space="preserve">3 000 – 8 000 $</w:t>
            </w:r>
          </w:p>
        </w:tc>
      </w:tr>
      <w:tr>
        <w:tc>
          <w:tcPr/>
          <w:p>
            <w:pPr>
              <w:pStyle w:val="Compact"/>
              <w:jc w:val="left"/>
            </w:pPr>
            <w:r>
              <w:t xml:space="preserve">Instance à la Cour des petites créances</w:t>
            </w:r>
          </w:p>
        </w:tc>
        <w:tc>
          <w:tcPr/>
          <w:p>
            <w:pPr>
              <w:pStyle w:val="Compact"/>
              <w:jc w:val="left"/>
            </w:pPr>
            <w:r>
              <w:t xml:space="preserve">&lt; 50 000 $</w:t>
            </w:r>
          </w:p>
        </w:tc>
        <w:tc>
          <w:tcPr/>
          <w:p>
            <w:pPr>
              <w:pStyle w:val="Compact"/>
              <w:jc w:val="left"/>
            </w:pPr>
            <w:r>
              <w:t xml:space="preserve">Horaire + forfait</w:t>
            </w:r>
          </w:p>
        </w:tc>
        <w:tc>
          <w:tcPr/>
          <w:p>
            <w:pPr>
              <w:pStyle w:val="Compact"/>
              <w:jc w:val="left"/>
            </w:pPr>
            <w:r>
              <w:t xml:space="preserve">3 500 – 9 500 $</w:t>
            </w:r>
          </w:p>
        </w:tc>
      </w:tr>
      <w:tr>
        <w:tc>
          <w:tcPr/>
          <w:p>
            <w:pPr>
              <w:pStyle w:val="Compact"/>
              <w:jc w:val="left"/>
            </w:pPr>
            <w:r>
              <w:t xml:space="preserve">Poursuite civile — procédure simplifiée (Règle 76)</w:t>
            </w:r>
          </w:p>
        </w:tc>
        <w:tc>
          <w:tcPr/>
          <w:p>
            <w:pPr>
              <w:pStyle w:val="Compact"/>
              <w:jc w:val="left"/>
            </w:pPr>
            <w:r>
              <w:t xml:space="preserve">50 001 – 200 000 $</w:t>
            </w:r>
          </w:p>
        </w:tc>
        <w:tc>
          <w:tcPr/>
          <w:p>
            <w:pPr>
              <w:pStyle w:val="Compact"/>
              <w:jc w:val="left"/>
            </w:pPr>
            <w:r>
              <w:t xml:space="preserve">Horaire + conditionnel</w:t>
            </w:r>
          </w:p>
        </w:tc>
        <w:tc>
          <w:tcPr/>
          <w:p>
            <w:pPr>
              <w:pStyle w:val="Compact"/>
              <w:jc w:val="left"/>
            </w:pPr>
            <w:r>
              <w:t xml:space="preserve">8 000 – 28 000 $</w:t>
            </w:r>
          </w:p>
        </w:tc>
      </w:tr>
      <w:tr>
        <w:tc>
          <w:tcPr/>
          <w:p>
            <w:pPr>
              <w:pStyle w:val="Compact"/>
              <w:jc w:val="left"/>
            </w:pPr>
            <w:r>
              <w:t xml:space="preserve">Poursuite civile — Cour supérieure de justice, procédure ordinaire</w:t>
            </w:r>
          </w:p>
        </w:tc>
        <w:tc>
          <w:tcPr/>
          <w:p>
            <w:pPr>
              <w:pStyle w:val="Compact"/>
              <w:jc w:val="left"/>
            </w:pPr>
            <w:r>
              <w:t xml:space="preserve">&gt; 200 000 $</w:t>
            </w:r>
          </w:p>
        </w:tc>
        <w:tc>
          <w:tcPr/>
          <w:p>
            <w:pPr>
              <w:pStyle w:val="Compact"/>
              <w:jc w:val="left"/>
            </w:pPr>
            <w:r>
              <w:t xml:space="preserve">Horaire</w:t>
            </w:r>
          </w:p>
        </w:tc>
        <w:tc>
          <w:tcPr/>
          <w:p>
            <w:pPr>
              <w:pStyle w:val="Compact"/>
              <w:jc w:val="left"/>
            </w:pPr>
            <w:r>
              <w:t xml:space="preserve">25 000 – 80 000 $ +</w:t>
            </w:r>
          </w:p>
        </w:tc>
      </w:tr>
      <w:tr>
        <w:tc>
          <w:tcPr/>
          <w:p>
            <w:pPr>
              <w:pStyle w:val="Compact"/>
              <w:jc w:val="left"/>
            </w:pPr>
            <w:r>
              <w:t xml:space="preserve">Exécution après jugement</w:t>
            </w:r>
          </w:p>
        </w:tc>
        <w:tc>
          <w:tcPr/>
          <w:p>
            <w:pPr>
              <w:pStyle w:val="Compact"/>
              <w:jc w:val="left"/>
            </w:pPr>
            <w:r>
              <w:t xml:space="preserve">Variable</w:t>
            </w:r>
          </w:p>
        </w:tc>
        <w:tc>
          <w:tcPr/>
          <w:p>
            <w:pPr>
              <w:pStyle w:val="Compact"/>
              <w:jc w:val="left"/>
            </w:pPr>
            <w:r>
              <w:t xml:space="preserve">% après jugement</w:t>
            </w:r>
          </w:p>
        </w:tc>
        <w:tc>
          <w:tcPr/>
          <w:p>
            <w:pPr>
              <w:pStyle w:val="Compact"/>
              <w:jc w:val="left"/>
            </w:pPr>
            <w:r>
              <w:t xml:space="preserve">18 – 25 %</w:t>
            </w:r>
          </w:p>
        </w:tc>
      </w:tr>
      <w:tr>
        <w:tc>
          <w:tcPr/>
          <w:p>
            <w:pPr>
              <w:pStyle w:val="Compact"/>
              <w:jc w:val="left"/>
            </w:pPr>
            <w:r>
              <w:t xml:space="preserve">Reconnaissance d'un jugement étranger</w:t>
            </w:r>
          </w:p>
        </w:tc>
        <w:tc>
          <w:tcPr/>
          <w:p>
            <w:pPr>
              <w:pStyle w:val="Compact"/>
              <w:jc w:val="left"/>
            </w:pPr>
            <w:r>
              <w:t xml:space="preserve">&gt; 50 000 $</w:t>
            </w:r>
          </w:p>
        </w:tc>
        <w:tc>
          <w:tcPr/>
          <w:p>
            <w:pPr>
              <w:pStyle w:val="Compact"/>
              <w:jc w:val="left"/>
            </w:pPr>
            <w:r>
              <w:t xml:space="preserve">Horaire + correspondant</w:t>
            </w:r>
          </w:p>
        </w:tc>
        <w:tc>
          <w:tcPr/>
          <w:p>
            <w:pPr>
              <w:pStyle w:val="Compact"/>
              <w:jc w:val="left"/>
            </w:pPr>
            <w:r>
              <w:t xml:space="preserve">5 500 – 18 000 $</w:t>
            </w:r>
          </w:p>
        </w:tc>
      </w:tr>
    </w:tbl>
    <w:bookmarkEnd w:id="23"/>
    <w:bookmarkStart w:id="24" w:name="v.-notes-et-divulgations"/>
    <w:p>
      <w:pPr>
        <w:pStyle w:val="Heading2"/>
      </w:pPr>
      <w:r>
        <w:t xml:space="preserve">V. Notes et divulgations</w:t>
      </w:r>
    </w:p>
    <w:p>
      <w:pPr>
        <w:pStyle w:val="FirstParagraph"/>
      </w:pPr>
      <w:r>
        <w:t xml:space="preserve">Les services juridiques offerts en Ontario sont rendus par un avocat inscrit au Barreau de</w:t>
      </w:r>
      <w:r>
        <w:t xml:space="preserve"> </w:t>
      </w:r>
      <w:r>
        <w:t xml:space="preserve">l'Ontario, assujetti au</w:t>
      </w:r>
      <w:r>
        <w:t xml:space="preserve"> </w:t>
      </w:r>
      <w:r>
        <w:rPr>
          <w:iCs/>
          <w:i/>
        </w:rPr>
        <w:t xml:space="preserve">Code de déontologie</w:t>
      </w:r>
      <w:r>
        <w:t xml:space="preserve"> </w:t>
      </w:r>
      <w:r>
        <w:t xml:space="preserve">(</w:t>
      </w:r>
      <w:r>
        <w:rPr>
          <w:iCs/>
          <w:i/>
        </w:rPr>
        <w:t xml:space="preserve">Rules of Professional Conduct</w:t>
      </w:r>
      <w:r>
        <w:t xml:space="preserve">).</w:t>
      </w:r>
      <w:r>
        <w:t xml:space="preserve"> </w:t>
      </w:r>
      <w:r>
        <w:t xml:space="preserve">Les ententes d'honoraires conditionnels sont rédigées sur le formulaire standard ontarien prévu</w:t>
      </w:r>
      <w:r>
        <w:t xml:space="preserve"> </w:t>
      </w:r>
      <w:r>
        <w:t xml:space="preserve">au Règl. de l'Ont. 195/04 (</w:t>
      </w:r>
      <w:r>
        <w:rPr>
          <w:iCs/>
          <w:i/>
        </w:rPr>
        <w:t xml:space="preserve">Solicitors Act</w:t>
      </w:r>
      <w:r>
        <w:t xml:space="preserve">). À la Cour des petites créances, les dépens</w:t>
      </w:r>
      <w:r>
        <w:t xml:space="preserve"> </w:t>
      </w:r>
      <w:r>
        <w:t xml:space="preserve">sont plafonnés à 15 % du montant réclamé; devant la Cour supérieure de justice, ils suivent la</w:t>
      </w:r>
      <w:r>
        <w:t xml:space="preserve"> </w:t>
      </w:r>
      <w:r>
        <w:t xml:space="preserve">règle ordinaire et sont généralement substantiels. La TVH de 13 % s'applique aux honoraires;</w:t>
      </w:r>
      <w:r>
        <w:t xml:space="preserve"> </w:t>
      </w:r>
      <w:r>
        <w:t xml:space="preserve">les débours sont facturés au coûtant.</w:t>
      </w:r>
    </w:p>
    <w:p>
      <w:pPr>
        <w:pStyle w:val="BodyText"/>
      </w:pPr>
      <w:r>
        <w:t xml:space="preserve">Pour démarrer un mandat</w:t>
      </w:r>
    </w:p>
    <w:p>
      <w:pPr>
        <w:pStyle w:val="BodyText"/>
      </w:pPr>
      <w:r>
        <w:t xml:space="preserve">Consultation gratuite de 30 minutes · calendly.com/emile-nicolov-creditjuris/30min</w:t>
      </w:r>
    </w:p>
    <w:p>
      <w:pPr>
        <w:pStyle w:val="BodyText"/>
      </w:pPr>
      <w:r>
        <w:t xml:space="preserve">Portail client (dépôt sécurisé du dossier) · www.creditjuris.com/portail</w:t>
      </w:r>
    </w:p>
    <w:p>
      <w:pPr>
        <w:pStyle w:val="BodyText"/>
      </w:pPr>
      <w:r>
        <w:t xml:space="preserve">Cette grille est indicative et peut être révisée annuellement. Les conditions complètes sont</w:t>
      </w:r>
      <w:r>
        <w:t xml:space="preserve"> </w:t>
      </w:r>
      <w:r>
        <w:t xml:space="preserve">précisées dans l'entente de services signée pour chaque mandat. Document informatif — ne</w:t>
      </w:r>
      <w:r>
        <w:t xml:space="preserve"> </w:t>
      </w:r>
      <w:r>
        <w:t xml:space="preserve">constitue pas un engagement contractuel.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CréditJuris Avocats — Article IV · Honoraires · Ontario</dc:title>
  <dc:creator/>
  <dc:language>fr</dc:language>
  <cp:keywords/>
  <dcterms:created xsi:type="dcterms:W3CDTF">2026-09-22T13:37:02Z</dcterms:created>
  <dcterms:modified xsi:type="dcterms:W3CDTF">2026-09-22T13:37:02Z</dcterms:modified>
</cp:coreProperties>
</file>

<file path=docProps/custom.xml><?xml version="1.0" encoding="utf-8"?>
<Properties xmlns="http://schemas.openxmlformats.org/officeDocument/2006/custom-properties" xmlns:vt="http://schemas.openxmlformats.org/officeDocument/2006/docPropsVTypes"/>
</file>