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CréditJuris</w:t>
      </w:r>
      <w:r>
        <w:t xml:space="preserve"> </w:t>
      </w:r>
      <w:r>
        <w:t xml:space="preserve">Avocats</w:t>
      </w:r>
      <w:r>
        <w:t xml:space="preserve"> </w:t>
      </w:r>
      <w:r>
        <w:t xml:space="preserve">—</w:t>
      </w:r>
      <w:r>
        <w:t xml:space="preserve"> </w:t>
      </w:r>
      <w:r>
        <w:t xml:space="preserve">Article</w:t>
      </w:r>
      <w:r>
        <w:t xml:space="preserve"> </w:t>
      </w:r>
      <w:r>
        <w:t xml:space="preserve">IV</w:t>
      </w:r>
      <w:r>
        <w:t xml:space="preserve"> </w:t>
      </w:r>
      <w:r>
        <w:t xml:space="preserve">—</w:t>
      </w:r>
      <w:r>
        <w:t xml:space="preserve"> </w:t>
      </w:r>
      <w:r>
        <w:t xml:space="preserve">Honoraires</w:t>
      </w:r>
    </w:p>
    <w:p>
      <w:pPr>
        <w:pStyle w:val="FirstParagraph"/>
      </w:pPr>
      <w:r>
        <w:t xml:space="preserve">Article IV — Honoraires</w:t>
      </w:r>
    </w:p>
    <w:bookmarkStart w:id="29" w:name="créditjuris-avocats"/>
    <w:p>
      <w:pPr>
        <w:pStyle w:val="Heading1"/>
      </w:pPr>
      <w:r>
        <w:t xml:space="preserve">Crédit</w:t>
      </w:r>
      <w:r>
        <w:t xml:space="preserve">Juris</w:t>
      </w:r>
      <w:r>
        <w:t xml:space="preserve"> </w:t>
      </w:r>
      <w:r>
        <w:t xml:space="preserve">Avocats</w:t>
      </w:r>
    </w:p>
    <w:p>
      <w:pPr>
        <w:pStyle w:val="FirstParagraph"/>
      </w:pPr>
      <w:r>
        <w:rPr>
          <w:bCs/>
          <w:b/>
        </w:rPr>
        <w:t xml:space="preserve">Honoraires et modalités de facturation</w:t>
      </w:r>
      <w:r>
        <w:br/>
      </w:r>
      <w:r>
        <w:t xml:space="preserve">Grille publiée · Trois modes · Mise à jour : septembre 2026</w:t>
      </w:r>
    </w:p>
    <w:p>
      <w:pPr>
        <w:pStyle w:val="BodyText"/>
      </w:pPr>
      <w:r>
        <w:t xml:space="preserve">Notre cabinet se consacre exclusivement au recouvrement de créances commerciales. Pour</w:t>
      </w:r>
      <w:r>
        <w:t xml:space="preserve"> </w:t>
      </w:r>
      <w:r>
        <w:t xml:space="preserve">chaque mandat, nous publions une grille tarifaire claire et un mode de facturation adapté à la</w:t>
      </w:r>
      <w:r>
        <w:t xml:space="preserve"> </w:t>
      </w:r>
      <w:r>
        <w:t xml:space="preserve">nature et au volume du dossier — sans honoraires cachés, sans majoration de débours.</w:t>
      </w:r>
    </w:p>
    <w:p>
      <w:pPr>
        <w:pStyle w:val="BodyText"/>
      </w:pPr>
      <w:r>
        <w:t xml:space="preserve">Selon la nature du dossier, l'un (ou plusieurs) de ces trois modes s'applique. Tous nos</w:t>
      </w:r>
      <w:r>
        <w:t xml:space="preserve"> </w:t>
      </w:r>
      <w:r>
        <w:t xml:space="preserve">mandats sont confirmés par écrit avant le début de toute prestation.</w:t>
      </w:r>
    </w:p>
    <w:bookmarkStart w:id="20" w:name="i.-forfait-un-acte-unique-prix-fixe"/>
    <w:p>
      <w:pPr>
        <w:pStyle w:val="Heading2"/>
      </w:pPr>
      <w:r>
        <w:t xml:space="preserve">I. Forfait — un acte unique, prix fixe</w:t>
      </w:r>
    </w:p>
    <w:p>
      <w:pPr>
        <w:pStyle w:val="FirstParagraph"/>
      </w:pPr>
      <w:r>
        <w:t xml:space="preserve">Pour un livrable précis dont la portée et le délai sont déterminés à l'avance — typiquement,</w:t>
      </w:r>
      <w:r>
        <w:t xml:space="preserve"> </w:t>
      </w:r>
      <w:r>
        <w:t xml:space="preserve">une mise en demeure ou une lettre formelle. Pas de surprise : vous payez le forfait, point.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Forfait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Honoraires (+ taxes)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Mise en demeure · Essentiel (courriel recommandé avec accusé)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295,00 $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Mise en demeure · Recommandée (poste recommandée + courriel)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450,00 $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Mise en demeure · Signification (huissier de justice)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650,00 $</w:t>
            </w:r>
          </w:p>
        </w:tc>
      </w:tr>
    </w:tbl>
    <w:p>
      <w:pPr>
        <w:pStyle w:val="BodyText"/>
      </w:pPr>
      <w:r>
        <w:t xml:space="preserve">Les débours d'huissier (signification, déplacement, kilométrage) sont refacturés au coûtant et préautorisés par écrit.</w:t>
      </w:r>
    </w:p>
    <w:bookmarkEnd w:id="20"/>
    <w:bookmarkStart w:id="21" w:name="Xf511095d8c45300d895d721852f1ff825cd232e"/>
    <w:p>
      <w:pPr>
        <w:pStyle w:val="Heading2"/>
      </w:pPr>
      <w:r>
        <w:t xml:space="preserve">II. Au succès — aucun honoraire si aucun recouvrement</w:t>
      </w:r>
    </w:p>
    <w:p>
      <w:pPr>
        <w:pStyle w:val="FirstParagraph"/>
      </w:pPr>
      <w:r>
        <w:t xml:space="preserve">Pour le recouvrement amiable (pré-litige) de créances commerciales au Québec. Notre</w:t>
      </w:r>
      <w:r>
        <w:t xml:space="preserve"> </w:t>
      </w:r>
      <w:r>
        <w:t xml:space="preserve">rémunération est strictement basée sur les sommes effectivement perçues. Si nous ne recouvrons</w:t>
      </w:r>
      <w:r>
        <w:t xml:space="preserve"> </w:t>
      </w:r>
      <w:r>
        <w:t xml:space="preserve">rien, vous ne payez aucun honoraire.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Montant de la créance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Honoraires sur sommes recouvrées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1 001 $ à 10 000 $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10 001 $ à 20 000 $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20 001 $ à 50 000 $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50 001 $ et plus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12 %</w:t>
            </w:r>
          </w:p>
        </w:tc>
      </w:tr>
    </w:tbl>
    <w:p>
      <w:pPr>
        <w:pStyle w:val="BodyText"/>
      </w:pPr>
      <w:r>
        <w:t xml:space="preserve">Des débours externes (huissier, postes recommandées, frais de greffe, recherches de solvabilité) peuvent s'appliquer — toujours avec votre accord préalable et au coûtant.</w:t>
      </w:r>
    </w:p>
    <w:bookmarkEnd w:id="21"/>
    <w:bookmarkStart w:id="22" w:name="Xb651427617001f486c86b9d05801d748214a468"/>
    <w:p>
      <w:pPr>
        <w:pStyle w:val="Heading2"/>
      </w:pPr>
      <w:r>
        <w:t xml:space="preserve">III. Taux horaire — dossiers complexes, litige et exécution</w:t>
      </w:r>
    </w:p>
    <w:p>
      <w:pPr>
        <w:pStyle w:val="FirstParagraph"/>
      </w:pPr>
      <w:r>
        <w:t xml:space="preserve">Pour les dossiers qui dépassent le pré-litige : poursuite civile, saisie avant jugement,</w:t>
      </w:r>
      <w:r>
        <w:t xml:space="preserve"> </w:t>
      </w:r>
      <w:r>
        <w:t xml:space="preserve">exécution post-jugement, transfrontalier complexe, dossiers contestés ou multi-parties.</w:t>
      </w:r>
      <w:r>
        <w:t xml:space="preserve"> </w:t>
      </w:r>
      <w:r>
        <w:t xml:space="preserve">Estimation écrite avant chaque phase, plafond négociable.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Profil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Taux (+ taxes)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Avocat collaborateur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295 $ / heure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Avocat senior · associé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395 $ / heure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Litige complexe · urgence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425 $ / heure</w:t>
            </w:r>
          </w:p>
        </w:tc>
      </w:tr>
    </w:tbl>
    <w:p>
      <w:pPr>
        <w:pStyle w:val="BodyText"/>
      </w:pPr>
      <w:r>
        <w:t xml:space="preserve">Facturation mensuelle détaillée par phase. Une provision pour frais de cour peut être demandée pour les dossiers judiciaires.</w:t>
      </w:r>
    </w:p>
    <w:bookmarkEnd w:id="22"/>
    <w:bookmarkStart w:id="23" w:name="volet-transfrontalier"/>
    <w:p>
      <w:pPr>
        <w:pStyle w:val="Heading2"/>
      </w:pPr>
      <w:r>
        <w:t xml:space="preserve">Volet transfrontalier</w:t>
      </w:r>
    </w:p>
    <w:p>
      <w:pPr>
        <w:pStyle w:val="FirstParagraph"/>
      </w:pPr>
      <w:r>
        <w:t xml:space="preserve">Lorsque le débiteur est situé hors Québec, le recouvrement nécessite une coordination avec un</w:t>
      </w:r>
      <w:r>
        <w:t xml:space="preserve"> </w:t>
      </w:r>
      <w:r>
        <w:t xml:space="preserve">cabinet correspondant. Notre rémunération demeure au succès, ajustée selon la juridiction du débiteur.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Juridiction du débiteur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Honoraires sur sommes recouvrées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Ontario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Autre province canadienne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États-Unis d'Amérique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Union européenne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35 %</w:t>
            </w:r>
          </w:p>
        </w:tc>
      </w:tr>
    </w:tbl>
    <w:p>
      <w:pPr>
        <w:pStyle w:val="BodyText"/>
      </w:pPr>
      <w:r>
        <w:t xml:space="preserve">Les honoraires du cabinet correspondant et les frais de cour locaux peuvent s'ajouter et sont précisés au mandat. Aucun honoraire CréditJuris si aucune somme n'est recouvrée.</w:t>
      </w:r>
    </w:p>
    <w:bookmarkEnd w:id="23"/>
    <w:bookmarkStart w:id="24" w:name="débours-et-frais-externes"/>
    <w:p>
      <w:pPr>
        <w:pStyle w:val="Heading2"/>
      </w:pPr>
      <w:r>
        <w:t xml:space="preserve">Débours et frais externes</w:t>
      </w:r>
    </w:p>
    <w:p>
      <w:pPr>
        <w:pStyle w:val="FirstParagraph"/>
      </w:pPr>
      <w:r>
        <w:t xml:space="preserve">Les débours suivants peuvent s'appliquer en plus des honoraires, toujours avec votre</w:t>
      </w:r>
      <w:r>
        <w:t xml:space="preserve"> </w:t>
      </w:r>
      <w:r>
        <w:t xml:space="preserve">autorisation préalable et facturés au coûtant exact :</w:t>
      </w:r>
    </w:p>
    <w:p>
      <w:pPr>
        <w:numPr>
          <w:ilvl w:val="0"/>
          <w:numId w:val="1001"/>
        </w:numPr>
        <w:pStyle w:val="Compact"/>
      </w:pPr>
      <w:r>
        <w:t xml:space="preserve">Frais de greffe (Cour du Québec, Cour supérieure)</w:t>
      </w:r>
    </w:p>
    <w:p>
      <w:pPr>
        <w:numPr>
          <w:ilvl w:val="0"/>
          <w:numId w:val="1001"/>
        </w:numPr>
        <w:pStyle w:val="Compact"/>
      </w:pPr>
      <w:r>
        <w:t xml:space="preserve">Frais d'huissier (signification, exécution, transport)</w:t>
      </w:r>
    </w:p>
    <w:p>
      <w:pPr>
        <w:numPr>
          <w:ilvl w:val="0"/>
          <w:numId w:val="1001"/>
        </w:numPr>
        <w:pStyle w:val="Compact"/>
      </w:pPr>
      <w:r>
        <w:t xml:space="preserve">Poste recommandée Canada Post</w:t>
      </w:r>
    </w:p>
    <w:p>
      <w:pPr>
        <w:numPr>
          <w:ilvl w:val="0"/>
          <w:numId w:val="1001"/>
        </w:numPr>
        <w:pStyle w:val="Compact"/>
      </w:pPr>
      <w:r>
        <w:t xml:space="preserve">Recherches de solvabilité et rapports de crédit commercial</w:t>
      </w:r>
    </w:p>
    <w:p>
      <w:pPr>
        <w:numPr>
          <w:ilvl w:val="0"/>
          <w:numId w:val="1001"/>
        </w:numPr>
        <w:pStyle w:val="Compact"/>
      </w:pPr>
      <w:r>
        <w:t xml:space="preserve">Inscriptions ou recherches au RDPRM / Registre foncier</w:t>
      </w:r>
    </w:p>
    <w:p>
      <w:pPr>
        <w:numPr>
          <w:ilvl w:val="0"/>
          <w:numId w:val="1001"/>
        </w:numPr>
        <w:pStyle w:val="Compact"/>
      </w:pPr>
      <w:r>
        <w:t xml:space="preserve">Traductions officielles, expertises (par fournisseur tiers)</w:t>
      </w:r>
    </w:p>
    <w:p>
      <w:pPr>
        <w:numPr>
          <w:ilvl w:val="0"/>
          <w:numId w:val="1001"/>
        </w:numPr>
        <w:pStyle w:val="Compact"/>
      </w:pPr>
      <w:r>
        <w:t xml:space="preserve">Frais de cabinet correspondant pour dossiers transfrontaliers</w:t>
      </w:r>
    </w:p>
    <w:bookmarkEnd w:id="24"/>
    <w:bookmarkStart w:id="28" w:name="modalités-de-facturation"/>
    <w:p>
      <w:pPr>
        <w:pStyle w:val="Heading2"/>
      </w:pPr>
      <w:r>
        <w:t xml:space="preserve">Modalités de facturation</w:t>
      </w:r>
    </w:p>
    <w:bookmarkStart w:id="25" w:name="quand-sommes-nous-payés"/>
    <w:p>
      <w:pPr>
        <w:pStyle w:val="Heading3"/>
      </w:pPr>
      <w:r>
        <w:t xml:space="preserve">Quand sommes-nous payés ?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Forfait</w:t>
      </w:r>
      <w:r>
        <w:t xml:space="preserve"> </w:t>
      </w:r>
      <w:r>
        <w:t xml:space="preserve">— à la livraison du livrable (mise en demeure expédiée).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 succès</w:t>
      </w:r>
      <w:r>
        <w:t xml:space="preserve"> </w:t>
      </w:r>
      <w:r>
        <w:t xml:space="preserve">— sur chaque versement reçu en fidéicommis. Aucune facture si aucun montant n'est recouvré.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Taux horaire</w:t>
      </w:r>
      <w:r>
        <w:t xml:space="preserve"> </w:t>
      </w:r>
      <w:r>
        <w:t xml:space="preserve">— facturation mensuelle, modalités de 30 jours.</w:t>
      </w:r>
    </w:p>
    <w:bookmarkEnd w:id="25"/>
    <w:bookmarkStart w:id="26" w:name="compte-en-fidéicommis"/>
    <w:p>
      <w:pPr>
        <w:pStyle w:val="Heading3"/>
      </w:pPr>
      <w:r>
        <w:t xml:space="preserve">Compte en fidéicommis</w:t>
      </w:r>
    </w:p>
    <w:p>
      <w:pPr>
        <w:pStyle w:val="FirstParagraph"/>
      </w:pPr>
      <w:r>
        <w:t xml:space="preserve">Les sommes recouvrées transitent par notre compte en fidéicommis. Vous recevez un état</w:t>
      </w:r>
      <w:r>
        <w:t xml:space="preserve"> </w:t>
      </w:r>
      <w:r>
        <w:t xml:space="preserve">détaillé à chaque versement, avec retenue automatique de notre commission et remise du solde</w:t>
      </w:r>
      <w:r>
        <w:t xml:space="preserve"> </w:t>
      </w:r>
      <w:r>
        <w:t xml:space="preserve">sous 5 jours ouvrables.</w:t>
      </w:r>
    </w:p>
    <w:bookmarkEnd w:id="26"/>
    <w:bookmarkStart w:id="27" w:name="engagements-écrits"/>
    <w:p>
      <w:pPr>
        <w:pStyle w:val="Heading3"/>
      </w:pPr>
      <w:r>
        <w:t xml:space="preserve">Engagements écrits</w:t>
      </w:r>
    </w:p>
    <w:p>
      <w:pPr>
        <w:numPr>
          <w:ilvl w:val="0"/>
          <w:numId w:val="1003"/>
        </w:numPr>
        <w:pStyle w:val="Compact"/>
      </w:pPr>
      <w:r>
        <w:t xml:space="preserve">Réponse sous 24 heures ouvrables après réception d'un dossier complet.</w:t>
      </w:r>
    </w:p>
    <w:p>
      <w:pPr>
        <w:numPr>
          <w:ilvl w:val="0"/>
          <w:numId w:val="1003"/>
        </w:numPr>
        <w:pStyle w:val="Compact"/>
      </w:pPr>
      <w:r>
        <w:t xml:space="preserve">Évaluation initiale et devis écrit gratuits avant tout mandat.</w:t>
      </w:r>
    </w:p>
    <w:p>
      <w:pPr>
        <w:numPr>
          <w:ilvl w:val="0"/>
          <w:numId w:val="1003"/>
        </w:numPr>
        <w:pStyle w:val="Compact"/>
      </w:pPr>
      <w:r>
        <w:t xml:space="preserve">Aucun frais sans entente écrite signée par les deux parties.</w:t>
      </w:r>
    </w:p>
    <w:p>
      <w:pPr>
        <w:numPr>
          <w:ilvl w:val="0"/>
          <w:numId w:val="1003"/>
        </w:numPr>
        <w:pStyle w:val="Compact"/>
      </w:pPr>
      <w:r>
        <w:t xml:space="preserve">Transparence tarifaire : grille publiée, factures détaillées par phase.</w:t>
      </w:r>
    </w:p>
    <w:p>
      <w:pPr>
        <w:pStyle w:val="FirstParagraph"/>
      </w:pPr>
      <w:r>
        <w:t xml:space="preserve">Pour démarrer un mandat</w:t>
      </w:r>
    </w:p>
    <w:p>
      <w:pPr>
        <w:pStyle w:val="BodyText"/>
      </w:pPr>
      <w:r>
        <w:t xml:space="preserve">Consultation gratuite de 30 minutes · calendly.com/emile-nicolov-creditjuris/30min</w:t>
      </w:r>
    </w:p>
    <w:p>
      <w:pPr>
        <w:pStyle w:val="BodyText"/>
      </w:pPr>
      <w:r>
        <w:t xml:space="preserve">Téléphone · 438-703-8443</w:t>
      </w:r>
    </w:p>
    <w:p>
      <w:pPr>
        <w:pStyle w:val="BodyText"/>
      </w:pPr>
      <w:r>
        <w:t xml:space="preserve">Portail client (dépôt sécurisé du dossier) · www.creditjuris.com/portail</w:t>
      </w:r>
    </w:p>
    <w:p>
      <w:pPr>
        <w:pStyle w:val="BodyText"/>
      </w:pPr>
      <w:r>
        <w:t xml:space="preserve">Ces tarifs s'appliquent à compter de septembre 2026 et peuvent être révisés annuellement.</w:t>
      </w:r>
      <w:r>
        <w:t xml:space="preserve"> </w:t>
      </w:r>
      <w:r>
        <w:t xml:space="preserve">Les conditions complètes (définition de « montant recouvré », gestion des débours, modalités de</w:t>
      </w:r>
      <w:r>
        <w:t xml:space="preserve"> </w:t>
      </w:r>
      <w:r>
        <w:t xml:space="preserve">résiliation, etc.) sont précisées dans l'entente de services signée pour chaque mandat.</w:t>
      </w:r>
      <w:r>
        <w:t xml:space="preserve"> </w:t>
      </w:r>
      <w:r>
        <w:t xml:space="preserve">Document informatif — ne constitue pas un engagement contractuel.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CréditJuris Avocats — Article IV — Honoraires</dc:title>
  <dc:creator/>
  <dc:language>fr</dc:language>
  <cp:keywords/>
  <dcterms:created xsi:type="dcterms:W3CDTF">2026-09-22T13:37:01Z</dcterms:created>
  <dcterms:modified xsi:type="dcterms:W3CDTF">2026-09-22T13:37:01Z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